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874CB">
      <w:pPr>
        <w:pStyle w:val="Style9"/>
        <w:kinsoku w:val="0"/>
        <w:autoSpaceDE/>
        <w:autoSpaceDN/>
        <w:adjustRightInd/>
        <w:spacing w:before="216" w:line="206" w:lineRule="auto"/>
        <w:ind w:left="2448"/>
        <w:rPr>
          <w:rStyle w:val="CharacterStyle2"/>
          <w:rFonts w:ascii="Verdana" w:hAnsi="Verdana" w:cs="Verdana"/>
          <w:b/>
          <w:bCs/>
          <w:spacing w:val="-2"/>
          <w:sz w:val="19"/>
          <w:szCs w:val="19"/>
          <w:lang w:val="es-ES" w:eastAsia="es-ES"/>
        </w:rPr>
      </w:pPr>
      <w:r>
        <w:rPr>
          <w:rStyle w:val="CharacterStyle2"/>
          <w:rFonts w:ascii="Verdana" w:hAnsi="Verdana" w:cs="Verdana"/>
          <w:b/>
          <w:bCs/>
          <w:spacing w:val="-2"/>
          <w:sz w:val="19"/>
          <w:szCs w:val="19"/>
          <w:lang w:val="es-ES" w:eastAsia="es-ES"/>
        </w:rPr>
        <w:t>RESOLUCION TAT- No.1442-05</w:t>
      </w:r>
    </w:p>
    <w:p w:rsidR="00000000" w:rsidRDefault="00F874CB" w:rsidP="00F874CB">
      <w:pPr>
        <w:pStyle w:val="Style9"/>
        <w:kinsoku w:val="0"/>
        <w:autoSpaceDE/>
        <w:autoSpaceDN/>
        <w:adjustRightInd/>
        <w:spacing w:before="180"/>
        <w:ind w:left="72" w:right="576"/>
        <w:jc w:val="both"/>
        <w:rPr>
          <w:rStyle w:val="CharacterStyle2"/>
          <w:rFonts w:ascii="Tahoma" w:hAnsi="Tahoma" w:cs="Tahoma"/>
          <w:spacing w:val="12"/>
          <w:sz w:val="19"/>
          <w:szCs w:val="19"/>
          <w:lang w:val="es-ES" w:eastAsia="es-ES"/>
        </w:rPr>
      </w:pPr>
      <w:r>
        <w:rPr>
          <w:rStyle w:val="CharacterStyle2"/>
          <w:rFonts w:ascii="Verdana" w:hAnsi="Verdana" w:cs="Verdana"/>
          <w:b/>
          <w:bCs/>
          <w:spacing w:val="3"/>
          <w:sz w:val="19"/>
          <w:szCs w:val="19"/>
          <w:lang w:val="es-ES" w:eastAsia="es-ES"/>
        </w:rPr>
        <w:t xml:space="preserve">TRIBUNAL ADMINISTRATIVO DE TRANSPORTE. </w:t>
      </w:r>
      <w:r>
        <w:rPr>
          <w:rStyle w:val="CharacterStyle2"/>
          <w:rFonts w:ascii="Tahoma" w:hAnsi="Tahoma" w:cs="Tahoma"/>
          <w:spacing w:val="13"/>
          <w:sz w:val="19"/>
          <w:szCs w:val="19"/>
          <w:lang w:val="es-ES" w:eastAsia="es-ES"/>
        </w:rPr>
        <w:t xml:space="preserve">San José, a las diez horas </w:t>
      </w:r>
      <w:r>
        <w:rPr>
          <w:rStyle w:val="CharacterStyle2"/>
          <w:rFonts w:ascii="Tahoma" w:hAnsi="Tahoma" w:cs="Tahoma"/>
          <w:spacing w:val="12"/>
          <w:sz w:val="19"/>
          <w:szCs w:val="19"/>
          <w:lang w:val="es-ES" w:eastAsia="es-ES"/>
        </w:rPr>
        <w:t>treinta minutos del veintitré</w:t>
      </w:r>
      <w:r>
        <w:rPr>
          <w:rStyle w:val="CharacterStyle2"/>
          <w:rFonts w:ascii="Tahoma" w:hAnsi="Tahoma" w:cs="Tahoma"/>
          <w:spacing w:val="12"/>
          <w:sz w:val="19"/>
          <w:szCs w:val="19"/>
          <w:lang w:val="es-ES" w:eastAsia="es-ES"/>
        </w:rPr>
        <w:t>s de noviembre del dos mil cinco.-</w:t>
      </w:r>
    </w:p>
    <w:p w:rsidR="00000000" w:rsidRDefault="00F874CB">
      <w:pPr>
        <w:pStyle w:val="Style9"/>
        <w:kinsoku w:val="0"/>
        <w:autoSpaceDE/>
        <w:autoSpaceDN/>
        <w:adjustRightInd/>
        <w:spacing w:before="180"/>
        <w:ind w:left="72" w:right="576"/>
        <w:jc w:val="both"/>
        <w:rPr>
          <w:rStyle w:val="CharacterStyle2"/>
          <w:rFonts w:ascii="Verdana" w:hAnsi="Verdana" w:cs="Verdana"/>
          <w:b/>
          <w:bCs/>
          <w:spacing w:val="-2"/>
          <w:sz w:val="19"/>
          <w:szCs w:val="19"/>
          <w:lang w:val="es-ES" w:eastAsia="es-ES"/>
        </w:rPr>
      </w:pPr>
      <w:r>
        <w:rPr>
          <w:rStyle w:val="CharacterStyle2"/>
          <w:rFonts w:ascii="Tahoma" w:hAnsi="Tahoma" w:cs="Tahoma"/>
          <w:spacing w:val="13"/>
          <w:sz w:val="19"/>
          <w:szCs w:val="19"/>
          <w:lang w:val="es-ES" w:eastAsia="es-ES"/>
        </w:rPr>
        <w:t xml:space="preserve">Se conoce </w:t>
      </w:r>
      <w:r>
        <w:rPr>
          <w:rStyle w:val="CharacterStyle2"/>
          <w:rFonts w:ascii="Verdana" w:hAnsi="Verdana" w:cs="Verdana"/>
          <w:b/>
          <w:bCs/>
          <w:spacing w:val="3"/>
          <w:sz w:val="19"/>
          <w:szCs w:val="19"/>
          <w:lang w:val="es-ES" w:eastAsia="es-ES"/>
        </w:rPr>
        <w:t xml:space="preserve">Resolución N° 326, </w:t>
      </w:r>
      <w:r>
        <w:rPr>
          <w:rStyle w:val="CharacterStyle2"/>
          <w:rFonts w:ascii="Tahoma" w:hAnsi="Tahoma" w:cs="Tahoma"/>
          <w:spacing w:val="13"/>
          <w:sz w:val="19"/>
          <w:szCs w:val="19"/>
          <w:lang w:val="es-ES" w:eastAsia="es-ES"/>
        </w:rPr>
        <w:t xml:space="preserve">de las quince horas treinta y cinco minutos del </w:t>
      </w:r>
      <w:r>
        <w:rPr>
          <w:rStyle w:val="CharacterStyle2"/>
          <w:rFonts w:ascii="Tahoma" w:hAnsi="Tahoma" w:cs="Tahoma"/>
          <w:spacing w:val="8"/>
          <w:sz w:val="19"/>
          <w:szCs w:val="19"/>
          <w:lang w:val="es-ES" w:eastAsia="es-ES"/>
        </w:rPr>
        <w:t xml:space="preserve">nueve de mayo de dos mil cinco, emitida por el Señor Ministro de Obras Públicas y </w:t>
      </w:r>
      <w:r>
        <w:rPr>
          <w:rStyle w:val="CharacterStyle2"/>
          <w:rFonts w:ascii="Tahoma" w:hAnsi="Tahoma" w:cs="Tahoma"/>
          <w:spacing w:val="21"/>
          <w:sz w:val="19"/>
          <w:szCs w:val="19"/>
          <w:lang w:val="es-ES" w:eastAsia="es-ES"/>
        </w:rPr>
        <w:t xml:space="preserve">Transportes, en ocasión del </w:t>
      </w:r>
      <w:r>
        <w:rPr>
          <w:rStyle w:val="CharacterStyle2"/>
          <w:rFonts w:ascii="Verdana" w:hAnsi="Verdana" w:cs="Verdana"/>
          <w:b/>
          <w:bCs/>
          <w:spacing w:val="11"/>
          <w:sz w:val="19"/>
          <w:szCs w:val="19"/>
          <w:lang w:val="es-ES" w:eastAsia="es-ES"/>
        </w:rPr>
        <w:t>Recurso de Revisió</w:t>
      </w:r>
      <w:r>
        <w:rPr>
          <w:rStyle w:val="CharacterStyle2"/>
          <w:rFonts w:ascii="Verdana" w:hAnsi="Verdana" w:cs="Verdana"/>
          <w:b/>
          <w:bCs/>
          <w:spacing w:val="11"/>
          <w:sz w:val="19"/>
          <w:szCs w:val="19"/>
          <w:lang w:val="es-ES" w:eastAsia="es-ES"/>
        </w:rPr>
        <w:t xml:space="preserve">n y Nulidad Absoluta, </w:t>
      </w:r>
      <w:r>
        <w:rPr>
          <w:rStyle w:val="CharacterStyle2"/>
          <w:rFonts w:ascii="Tahoma" w:hAnsi="Tahoma" w:cs="Tahoma"/>
          <w:spacing w:val="10"/>
          <w:sz w:val="19"/>
          <w:szCs w:val="19"/>
          <w:lang w:val="es-ES" w:eastAsia="es-ES"/>
        </w:rPr>
        <w:t xml:space="preserve">presentado por </w:t>
      </w:r>
      <w:r>
        <w:rPr>
          <w:rStyle w:val="CharacterStyle2"/>
          <w:rFonts w:ascii="Verdana" w:hAnsi="Verdana" w:cs="Verdana"/>
          <w:b/>
          <w:bCs/>
          <w:sz w:val="19"/>
          <w:szCs w:val="19"/>
          <w:lang w:val="es-ES" w:eastAsia="es-ES"/>
        </w:rPr>
        <w:t>DGM</w:t>
      </w:r>
      <w:r>
        <w:rPr>
          <w:rStyle w:val="CharacterStyle2"/>
          <w:rFonts w:ascii="Verdana" w:hAnsi="Verdana" w:cs="Verdana"/>
          <w:b/>
          <w:bCs/>
          <w:sz w:val="19"/>
          <w:szCs w:val="19"/>
          <w:lang w:val="es-ES" w:eastAsia="es-ES"/>
        </w:rPr>
        <w:t xml:space="preserve">, </w:t>
      </w:r>
      <w:r>
        <w:rPr>
          <w:rStyle w:val="CharacterStyle2"/>
          <w:rFonts w:ascii="Tahoma" w:hAnsi="Tahoma" w:cs="Tahoma"/>
          <w:spacing w:val="10"/>
          <w:sz w:val="19"/>
          <w:szCs w:val="19"/>
          <w:lang w:val="es-ES" w:eastAsia="es-ES"/>
        </w:rPr>
        <w:t>cédula de identidad número 1-432</w:t>
      </w:r>
      <w:r>
        <w:rPr>
          <w:rStyle w:val="CharacterStyle2"/>
          <w:rFonts w:ascii="Tahoma" w:hAnsi="Tahoma" w:cs="Tahoma"/>
          <w:spacing w:val="10"/>
          <w:sz w:val="19"/>
          <w:szCs w:val="19"/>
          <w:lang w:val="es-ES" w:eastAsia="es-ES"/>
        </w:rPr>
        <w:softHyphen/>
        <w:t xml:space="preserve">501, </w:t>
      </w:r>
      <w:r>
        <w:rPr>
          <w:rStyle w:val="CharacterStyle2"/>
          <w:rFonts w:ascii="Verdana" w:hAnsi="Verdana" w:cs="Verdana"/>
          <w:b/>
          <w:bCs/>
          <w:sz w:val="19"/>
          <w:szCs w:val="19"/>
          <w:lang w:val="es-ES" w:eastAsia="es-ES"/>
        </w:rPr>
        <w:t xml:space="preserve">en contra de la calificación </w:t>
      </w:r>
      <w:r>
        <w:rPr>
          <w:rStyle w:val="CharacterStyle2"/>
          <w:rFonts w:ascii="Tahoma" w:hAnsi="Tahoma" w:cs="Tahoma"/>
          <w:spacing w:val="10"/>
          <w:sz w:val="19"/>
          <w:szCs w:val="19"/>
          <w:lang w:val="es-ES" w:eastAsia="es-ES"/>
        </w:rPr>
        <w:t xml:space="preserve">dada por el </w:t>
      </w:r>
      <w:r>
        <w:rPr>
          <w:rStyle w:val="CharacterStyle2"/>
          <w:rFonts w:ascii="Tahoma" w:hAnsi="Tahoma" w:cs="Tahoma"/>
          <w:spacing w:val="10"/>
          <w:sz w:val="15"/>
          <w:szCs w:val="15"/>
          <w:lang w:val="es-ES" w:eastAsia="es-ES"/>
        </w:rPr>
        <w:t xml:space="preserve">CONSEJO DE TRANSPORTE PÚBLICO, </w:t>
      </w:r>
      <w:r>
        <w:rPr>
          <w:rStyle w:val="CharacterStyle2"/>
          <w:rFonts w:ascii="Tahoma" w:hAnsi="Tahoma" w:cs="Tahoma"/>
          <w:spacing w:val="10"/>
          <w:sz w:val="19"/>
          <w:szCs w:val="19"/>
          <w:lang w:val="es-ES" w:eastAsia="es-ES"/>
        </w:rPr>
        <w:t xml:space="preserve">a la </w:t>
      </w:r>
      <w:r>
        <w:rPr>
          <w:rStyle w:val="CharacterStyle2"/>
          <w:rFonts w:ascii="Tahoma" w:hAnsi="Tahoma" w:cs="Tahoma"/>
          <w:spacing w:val="11"/>
          <w:sz w:val="19"/>
          <w:szCs w:val="19"/>
          <w:lang w:val="es-ES" w:eastAsia="es-ES"/>
        </w:rPr>
        <w:t xml:space="preserve">oferta presentada en la licitación pública denominada "PRIMER PROCEDIMIENTO </w:t>
      </w:r>
      <w:r>
        <w:rPr>
          <w:rStyle w:val="CharacterStyle2"/>
          <w:rFonts w:ascii="Tahoma" w:hAnsi="Tahoma" w:cs="Tahoma"/>
          <w:spacing w:val="13"/>
          <w:sz w:val="19"/>
          <w:szCs w:val="19"/>
          <w:lang w:val="es-ES" w:eastAsia="es-ES"/>
        </w:rPr>
        <w:t>ESPECI</w:t>
      </w:r>
      <w:r>
        <w:rPr>
          <w:rStyle w:val="CharacterStyle2"/>
          <w:rFonts w:ascii="Tahoma" w:hAnsi="Tahoma" w:cs="Tahoma"/>
          <w:spacing w:val="13"/>
          <w:sz w:val="19"/>
          <w:szCs w:val="19"/>
          <w:lang w:val="es-ES" w:eastAsia="es-ES"/>
        </w:rPr>
        <w:t xml:space="preserve">AL ABREVIDADO PARA EL TRANSPORTE REMUNERADO DE PERSONAS EN </w:t>
      </w:r>
      <w:r>
        <w:rPr>
          <w:rStyle w:val="CharacterStyle2"/>
          <w:rFonts w:ascii="Tahoma" w:hAnsi="Tahoma" w:cs="Tahoma"/>
          <w:spacing w:val="12"/>
          <w:sz w:val="19"/>
          <w:szCs w:val="19"/>
          <w:lang w:val="es-ES" w:eastAsia="es-ES"/>
        </w:rPr>
        <w:t xml:space="preserve">VEHICULOS MODALIDAD TAXI" y tramitado en este Despacho bajo </w:t>
      </w:r>
      <w:r>
        <w:rPr>
          <w:rStyle w:val="CharacterStyle2"/>
          <w:rFonts w:ascii="Verdana" w:hAnsi="Verdana" w:cs="Verdana"/>
          <w:b/>
          <w:bCs/>
          <w:spacing w:val="2"/>
          <w:sz w:val="19"/>
          <w:szCs w:val="19"/>
          <w:lang w:val="es-ES" w:eastAsia="es-ES"/>
        </w:rPr>
        <w:t xml:space="preserve">Expediente </w:t>
      </w:r>
      <w:r>
        <w:rPr>
          <w:rStyle w:val="CharacterStyle2"/>
          <w:rFonts w:ascii="Verdana" w:hAnsi="Verdana" w:cs="Verdana"/>
          <w:b/>
          <w:bCs/>
          <w:spacing w:val="-2"/>
          <w:sz w:val="19"/>
          <w:szCs w:val="19"/>
          <w:lang w:val="es-ES" w:eastAsia="es-ES"/>
        </w:rPr>
        <w:t>Administrativo No. TAT-026-05.</w:t>
      </w:r>
    </w:p>
    <w:p w:rsidR="00000000" w:rsidRDefault="00F874CB">
      <w:pPr>
        <w:pStyle w:val="Style9"/>
        <w:kinsoku w:val="0"/>
        <w:autoSpaceDE/>
        <w:autoSpaceDN/>
        <w:adjustRightInd/>
        <w:spacing w:before="180"/>
        <w:ind w:left="72"/>
        <w:rPr>
          <w:rStyle w:val="CharacterStyle2"/>
          <w:rFonts w:ascii="Verdana" w:hAnsi="Verdana" w:cs="Verdana"/>
          <w:b/>
          <w:bCs/>
          <w:spacing w:val="-26"/>
          <w:w w:val="105"/>
          <w:sz w:val="19"/>
          <w:szCs w:val="19"/>
          <w:lang w:val="es-ES" w:eastAsia="es-ES"/>
        </w:rPr>
      </w:pPr>
      <w:r>
        <w:rPr>
          <w:rStyle w:val="CharacterStyle2"/>
          <w:rFonts w:ascii="Verdana" w:hAnsi="Verdana" w:cs="Verdana"/>
          <w:b/>
          <w:bCs/>
          <w:spacing w:val="-26"/>
          <w:w w:val="105"/>
          <w:sz w:val="19"/>
          <w:szCs w:val="19"/>
          <w:lang w:val="es-ES" w:eastAsia="es-ES"/>
        </w:rPr>
        <w:t>REDACTA LA JUEZ MARTA LUZ PÉREZ PELÁEZ; Y,</w:t>
      </w:r>
    </w:p>
    <w:p w:rsidR="00000000" w:rsidRDefault="00F874CB">
      <w:pPr>
        <w:pStyle w:val="Style9"/>
        <w:kinsoku w:val="0"/>
        <w:autoSpaceDE/>
        <w:autoSpaceDN/>
        <w:adjustRightInd/>
        <w:spacing w:before="180" w:line="480" w:lineRule="auto"/>
        <w:ind w:left="72" w:right="3240" w:firstLine="2736"/>
        <w:rPr>
          <w:rStyle w:val="CharacterStyle2"/>
          <w:rFonts w:ascii="Verdana" w:hAnsi="Verdana" w:cs="Verdana"/>
          <w:b/>
          <w:bCs/>
          <w:spacing w:val="-2"/>
          <w:sz w:val="19"/>
          <w:szCs w:val="19"/>
          <w:lang w:val="es-ES" w:eastAsia="es-ES"/>
        </w:rPr>
      </w:pPr>
      <w:r>
        <w:rPr>
          <w:rStyle w:val="CharacterStyle2"/>
          <w:rFonts w:ascii="Verdana" w:hAnsi="Verdana" w:cs="Verdana"/>
          <w:b/>
          <w:bCs/>
          <w:spacing w:val="-4"/>
          <w:sz w:val="19"/>
          <w:szCs w:val="19"/>
          <w:lang w:val="es-ES" w:eastAsia="es-ES"/>
        </w:rPr>
        <w:t>CONSIDERANDO UNI</w:t>
      </w:r>
      <w:r>
        <w:rPr>
          <w:rStyle w:val="CharacterStyle2"/>
          <w:rFonts w:ascii="Verdana" w:hAnsi="Verdana" w:cs="Verdana"/>
          <w:b/>
          <w:bCs/>
          <w:spacing w:val="-4"/>
          <w:sz w:val="19"/>
          <w:szCs w:val="19"/>
          <w:lang w:val="es-ES" w:eastAsia="es-ES"/>
        </w:rPr>
        <w:t xml:space="preserve">CO </w:t>
      </w:r>
      <w:r>
        <w:rPr>
          <w:rStyle w:val="CharacterStyle2"/>
          <w:rFonts w:ascii="Verdana" w:hAnsi="Verdana" w:cs="Verdana"/>
          <w:b/>
          <w:bCs/>
          <w:spacing w:val="-2"/>
          <w:sz w:val="19"/>
          <w:szCs w:val="19"/>
          <w:lang w:val="es-ES" w:eastAsia="es-ES"/>
        </w:rPr>
        <w:t>SE DECLARA LA INCOMPETENCIA:</w:t>
      </w:r>
    </w:p>
    <w:p w:rsidR="00000000" w:rsidRDefault="00F874CB" w:rsidP="00F874CB">
      <w:pPr>
        <w:pStyle w:val="Style9"/>
        <w:tabs>
          <w:tab w:val="right" w:pos="8069"/>
        </w:tabs>
        <w:kinsoku w:val="0"/>
        <w:autoSpaceDE/>
        <w:autoSpaceDN/>
        <w:adjustRightInd/>
        <w:spacing w:before="144"/>
        <w:ind w:left="72"/>
        <w:jc w:val="both"/>
        <w:rPr>
          <w:rStyle w:val="CharacterStyle2"/>
          <w:rFonts w:ascii="Tahoma" w:hAnsi="Tahoma" w:cs="Tahoma"/>
          <w:spacing w:val="18"/>
          <w:sz w:val="19"/>
          <w:szCs w:val="19"/>
          <w:lang w:val="es-ES" w:eastAsia="es-ES"/>
        </w:rPr>
      </w:pPr>
      <w:r>
        <w:rPr>
          <w:rStyle w:val="CharacterStyle2"/>
          <w:rFonts w:ascii="Verdana" w:hAnsi="Verdana" w:cs="Verdana"/>
          <w:b/>
          <w:bCs/>
          <w:spacing w:val="7"/>
          <w:sz w:val="19"/>
          <w:szCs w:val="19"/>
          <w:lang w:val="es-ES" w:eastAsia="es-ES"/>
        </w:rPr>
        <w:t>Competencia del Tribunal Administrativo de Transporte.</w:t>
      </w:r>
      <w:r>
        <w:rPr>
          <w:rStyle w:val="CharacterStyle2"/>
          <w:rFonts w:ascii="Verdana" w:hAnsi="Verdana" w:cs="Verdana"/>
          <w:b/>
          <w:bCs/>
          <w:spacing w:val="7"/>
          <w:sz w:val="19"/>
          <w:szCs w:val="19"/>
          <w:lang w:val="es-ES" w:eastAsia="es-ES"/>
        </w:rPr>
        <w:tab/>
      </w:r>
      <w:r>
        <w:rPr>
          <w:rStyle w:val="CharacterStyle2"/>
          <w:rFonts w:ascii="Tahoma" w:hAnsi="Tahoma" w:cs="Tahoma"/>
          <w:spacing w:val="18"/>
          <w:sz w:val="19"/>
          <w:szCs w:val="19"/>
          <w:lang w:val="es-ES" w:eastAsia="es-ES"/>
        </w:rPr>
        <w:t>El Tribunal</w:t>
      </w:r>
    </w:p>
    <w:p w:rsidR="00000000" w:rsidRDefault="00F874CB">
      <w:pPr>
        <w:pStyle w:val="Style9"/>
        <w:kinsoku w:val="0"/>
        <w:autoSpaceDE/>
        <w:autoSpaceDN/>
        <w:adjustRightInd/>
        <w:ind w:left="72" w:right="576"/>
        <w:jc w:val="both"/>
        <w:rPr>
          <w:rStyle w:val="CharacterStyle2"/>
          <w:rFonts w:ascii="Tahoma" w:hAnsi="Tahoma" w:cs="Tahoma"/>
          <w:spacing w:val="10"/>
          <w:sz w:val="19"/>
          <w:szCs w:val="19"/>
          <w:lang w:val="es-ES" w:eastAsia="es-ES"/>
        </w:rPr>
      </w:pPr>
      <w:r>
        <w:rPr>
          <w:rStyle w:val="CharacterStyle2"/>
          <w:rFonts w:ascii="Tahoma" w:hAnsi="Tahoma" w:cs="Tahoma"/>
          <w:spacing w:val="14"/>
          <w:sz w:val="19"/>
          <w:szCs w:val="19"/>
          <w:lang w:val="es-ES" w:eastAsia="es-ES"/>
        </w:rPr>
        <w:t xml:space="preserve">Administrativo de Transporte conforme al artículo 22 de la Ley Reguladora del </w:t>
      </w:r>
      <w:r>
        <w:rPr>
          <w:rStyle w:val="CharacterStyle2"/>
          <w:rFonts w:ascii="Tahoma" w:hAnsi="Tahoma" w:cs="Tahoma"/>
          <w:spacing w:val="18"/>
          <w:sz w:val="19"/>
          <w:szCs w:val="19"/>
          <w:lang w:val="es-ES" w:eastAsia="es-ES"/>
        </w:rPr>
        <w:t xml:space="preserve">Servicio Público de Transporte Remunerado de Personas en Vehículos en la </w:t>
      </w:r>
      <w:r>
        <w:rPr>
          <w:rStyle w:val="CharacterStyle2"/>
          <w:rFonts w:ascii="Tahoma" w:hAnsi="Tahoma" w:cs="Tahoma"/>
          <w:spacing w:val="14"/>
          <w:sz w:val="19"/>
          <w:szCs w:val="19"/>
          <w:lang w:val="es-ES" w:eastAsia="es-ES"/>
        </w:rPr>
        <w:t xml:space="preserve">Modalidad de Taxi, No. 7969 del 22 de diciembre de 1999 y el Dictamen de la </w:t>
      </w:r>
      <w:r>
        <w:rPr>
          <w:rStyle w:val="CharacterStyle2"/>
          <w:rFonts w:ascii="Tahoma" w:hAnsi="Tahoma" w:cs="Tahoma"/>
          <w:spacing w:val="7"/>
          <w:sz w:val="19"/>
          <w:szCs w:val="19"/>
          <w:lang w:val="es-ES" w:eastAsia="es-ES"/>
        </w:rPr>
        <w:t xml:space="preserve">Procuraduría General de la República No C-037-2000 del 25 de febrero del 2000, es </w:t>
      </w:r>
      <w:r>
        <w:rPr>
          <w:rStyle w:val="CharacterStyle2"/>
          <w:rFonts w:ascii="Tahoma" w:hAnsi="Tahoma" w:cs="Tahoma"/>
          <w:spacing w:val="9"/>
          <w:sz w:val="19"/>
          <w:szCs w:val="19"/>
          <w:lang w:val="es-ES" w:eastAsia="es-ES"/>
        </w:rPr>
        <w:t xml:space="preserve">competente para conocer y resolver los recursos de apelación venidos en alzada en </w:t>
      </w:r>
      <w:r>
        <w:rPr>
          <w:rStyle w:val="CharacterStyle2"/>
          <w:rFonts w:ascii="Tahoma" w:hAnsi="Tahoma" w:cs="Tahoma"/>
          <w:spacing w:val="14"/>
          <w:sz w:val="19"/>
          <w:szCs w:val="19"/>
          <w:lang w:val="es-ES" w:eastAsia="es-ES"/>
        </w:rPr>
        <w:t>contra de los ac</w:t>
      </w:r>
      <w:r>
        <w:rPr>
          <w:rStyle w:val="CharacterStyle2"/>
          <w:rFonts w:ascii="Tahoma" w:hAnsi="Tahoma" w:cs="Tahoma"/>
          <w:spacing w:val="14"/>
          <w:sz w:val="19"/>
          <w:szCs w:val="19"/>
          <w:lang w:val="es-ES" w:eastAsia="es-ES"/>
        </w:rPr>
        <w:t xml:space="preserve">tos o resoluciones emanadas del Consejo de Transporte Público. </w:t>
      </w:r>
      <w:r>
        <w:rPr>
          <w:rStyle w:val="CharacterStyle2"/>
          <w:rFonts w:ascii="Tahoma" w:hAnsi="Tahoma" w:cs="Tahoma"/>
          <w:spacing w:val="11"/>
          <w:sz w:val="19"/>
          <w:szCs w:val="19"/>
          <w:lang w:val="es-ES" w:eastAsia="es-ES"/>
        </w:rPr>
        <w:t xml:space="preserve">Esta normativa especializada, debe integrarse para su correcta dimensión, con el </w:t>
      </w:r>
      <w:r>
        <w:rPr>
          <w:rStyle w:val="CharacterStyle2"/>
          <w:rFonts w:ascii="Tahoma" w:hAnsi="Tahoma" w:cs="Tahoma"/>
          <w:spacing w:val="24"/>
          <w:sz w:val="19"/>
          <w:szCs w:val="19"/>
          <w:lang w:val="es-ES" w:eastAsia="es-ES"/>
        </w:rPr>
        <w:t xml:space="preserve">artículo 181 de la Ley General de la Administración Pública, que señala </w:t>
      </w:r>
      <w:r>
        <w:rPr>
          <w:rStyle w:val="CharacterStyle2"/>
          <w:rFonts w:ascii="Tahoma" w:hAnsi="Tahoma" w:cs="Tahoma"/>
          <w:spacing w:val="10"/>
          <w:sz w:val="19"/>
          <w:szCs w:val="19"/>
          <w:lang w:val="es-ES" w:eastAsia="es-ES"/>
        </w:rPr>
        <w:t>textualmente lo siguiente:</w:t>
      </w:r>
    </w:p>
    <w:p w:rsidR="00000000" w:rsidRDefault="00F874CB">
      <w:pPr>
        <w:pStyle w:val="Style9"/>
        <w:kinsoku w:val="0"/>
        <w:autoSpaceDE/>
        <w:autoSpaceDN/>
        <w:adjustRightInd/>
        <w:spacing w:before="216"/>
        <w:ind w:left="648" w:right="1152"/>
        <w:jc w:val="both"/>
        <w:rPr>
          <w:rStyle w:val="CharacterStyle2"/>
          <w:rFonts w:ascii="Tahoma" w:hAnsi="Tahoma" w:cs="Tahoma"/>
          <w:spacing w:val="11"/>
          <w:sz w:val="19"/>
          <w:szCs w:val="19"/>
          <w:lang w:val="es-ES" w:eastAsia="es-ES"/>
        </w:rPr>
      </w:pPr>
      <w:r>
        <w:rPr>
          <w:rStyle w:val="CharacterStyle2"/>
          <w:rFonts w:ascii="Tahoma" w:hAnsi="Tahoma" w:cs="Tahoma"/>
          <w:spacing w:val="10"/>
          <w:sz w:val="19"/>
          <w:szCs w:val="19"/>
          <w:lang w:val="es-ES" w:eastAsia="es-ES"/>
        </w:rPr>
        <w:t>"Artí</w:t>
      </w:r>
      <w:r>
        <w:rPr>
          <w:rStyle w:val="CharacterStyle2"/>
          <w:rFonts w:ascii="Tahoma" w:hAnsi="Tahoma" w:cs="Tahoma"/>
          <w:spacing w:val="10"/>
          <w:sz w:val="19"/>
          <w:szCs w:val="19"/>
          <w:lang w:val="es-ES" w:eastAsia="es-ES"/>
        </w:rPr>
        <w:t xml:space="preserve">culo 181.- El Contralor no jerárquico podrá revisar sólo la legalidad </w:t>
      </w:r>
      <w:r>
        <w:rPr>
          <w:rStyle w:val="CharacterStyle2"/>
          <w:rFonts w:ascii="Tahoma" w:hAnsi="Tahoma" w:cs="Tahoma"/>
          <w:spacing w:val="14"/>
          <w:sz w:val="19"/>
          <w:szCs w:val="19"/>
          <w:lang w:val="es-ES" w:eastAsia="es-ES"/>
        </w:rPr>
        <w:t xml:space="preserve">del acto y en virtud de recurso administrativo, y decidirá dentro del límite de las pretensiones y cuestiones de hecho planteadas por el </w:t>
      </w:r>
      <w:r>
        <w:rPr>
          <w:rStyle w:val="CharacterStyle2"/>
          <w:rFonts w:ascii="Tahoma" w:hAnsi="Tahoma" w:cs="Tahoma"/>
          <w:spacing w:val="11"/>
          <w:sz w:val="19"/>
          <w:szCs w:val="19"/>
          <w:lang w:val="es-ES" w:eastAsia="es-ES"/>
        </w:rPr>
        <w:t>recurrente, pero podrá aplicar una norma no invoc</w:t>
      </w:r>
      <w:r>
        <w:rPr>
          <w:rStyle w:val="CharacterStyle2"/>
          <w:rFonts w:ascii="Tahoma" w:hAnsi="Tahoma" w:cs="Tahoma"/>
          <w:spacing w:val="11"/>
          <w:sz w:val="19"/>
          <w:szCs w:val="19"/>
          <w:lang w:val="es-ES" w:eastAsia="es-ES"/>
        </w:rPr>
        <w:t>ada en el recurso."</w:t>
      </w:r>
    </w:p>
    <w:p w:rsidR="00000000" w:rsidRDefault="00F874CB">
      <w:pPr>
        <w:pStyle w:val="Style9"/>
        <w:kinsoku w:val="0"/>
        <w:autoSpaceDE/>
        <w:autoSpaceDN/>
        <w:adjustRightInd/>
        <w:spacing w:before="216"/>
        <w:ind w:left="72" w:right="576"/>
        <w:jc w:val="both"/>
        <w:rPr>
          <w:rStyle w:val="CharacterStyle2"/>
          <w:rFonts w:ascii="Tahoma" w:hAnsi="Tahoma" w:cs="Tahoma"/>
          <w:spacing w:val="11"/>
          <w:sz w:val="19"/>
          <w:szCs w:val="19"/>
          <w:lang w:val="es-ES" w:eastAsia="es-ES"/>
        </w:rPr>
      </w:pPr>
      <w:r>
        <w:rPr>
          <w:rStyle w:val="CharacterStyle2"/>
          <w:rFonts w:ascii="Tahoma" w:hAnsi="Tahoma" w:cs="Tahoma"/>
          <w:spacing w:val="12"/>
          <w:sz w:val="19"/>
          <w:szCs w:val="19"/>
          <w:lang w:val="es-ES" w:eastAsia="es-ES"/>
        </w:rPr>
        <w:t xml:space="preserve">Siendo que la recurrente presenta un recurso de revisión en contra de un </w:t>
      </w:r>
      <w:proofErr w:type="gramStart"/>
      <w:r>
        <w:rPr>
          <w:rStyle w:val="CharacterStyle2"/>
          <w:rFonts w:ascii="Tahoma" w:hAnsi="Tahoma" w:cs="Tahoma"/>
          <w:spacing w:val="12"/>
          <w:sz w:val="19"/>
          <w:szCs w:val="19"/>
          <w:lang w:val="es-ES" w:eastAsia="es-ES"/>
        </w:rPr>
        <w:t>acuerdo</w:t>
      </w:r>
      <w:proofErr w:type="gramEnd"/>
      <w:r>
        <w:rPr>
          <w:rStyle w:val="CharacterStyle2"/>
          <w:rFonts w:ascii="Tahoma" w:hAnsi="Tahoma" w:cs="Tahoma"/>
          <w:spacing w:val="12"/>
          <w:sz w:val="19"/>
          <w:szCs w:val="19"/>
          <w:lang w:val="es-ES" w:eastAsia="es-ES"/>
        </w:rPr>
        <w:t xml:space="preserve"> </w:t>
      </w:r>
      <w:r>
        <w:rPr>
          <w:rStyle w:val="CharacterStyle2"/>
          <w:rFonts w:ascii="Tahoma" w:hAnsi="Tahoma" w:cs="Tahoma"/>
          <w:spacing w:val="22"/>
          <w:sz w:val="19"/>
          <w:szCs w:val="19"/>
          <w:lang w:val="es-ES" w:eastAsia="es-ES"/>
        </w:rPr>
        <w:t xml:space="preserve">del Consejo de Transporte Público, el Tribunal no es competente para el </w:t>
      </w:r>
      <w:r>
        <w:rPr>
          <w:rStyle w:val="CharacterStyle2"/>
          <w:rFonts w:ascii="Tahoma" w:hAnsi="Tahoma" w:cs="Tahoma"/>
          <w:spacing w:val="13"/>
          <w:sz w:val="19"/>
          <w:szCs w:val="19"/>
          <w:lang w:val="es-ES" w:eastAsia="es-ES"/>
        </w:rPr>
        <w:t xml:space="preserve">conocimiento del mismo, ya que de acuerdo con el artículo 353 de la Ley General </w:t>
      </w:r>
      <w:r>
        <w:rPr>
          <w:rStyle w:val="CharacterStyle2"/>
          <w:rFonts w:ascii="Tahoma" w:hAnsi="Tahoma" w:cs="Tahoma"/>
          <w:spacing w:val="16"/>
          <w:sz w:val="19"/>
          <w:szCs w:val="19"/>
          <w:lang w:val="es-ES" w:eastAsia="es-ES"/>
        </w:rPr>
        <w:t xml:space="preserve">de </w:t>
      </w:r>
      <w:r>
        <w:rPr>
          <w:rStyle w:val="CharacterStyle2"/>
          <w:rFonts w:ascii="Tahoma" w:hAnsi="Tahoma" w:cs="Tahoma"/>
          <w:spacing w:val="16"/>
          <w:sz w:val="19"/>
          <w:szCs w:val="19"/>
          <w:lang w:val="es-ES" w:eastAsia="es-ES"/>
        </w:rPr>
        <w:t xml:space="preserve">la Administración Pública, éste es un recurso extraordinario, que procede </w:t>
      </w:r>
      <w:r>
        <w:rPr>
          <w:rStyle w:val="CharacterStyle2"/>
          <w:rFonts w:ascii="Tahoma" w:hAnsi="Tahoma" w:cs="Tahoma"/>
          <w:spacing w:val="19"/>
          <w:sz w:val="19"/>
          <w:szCs w:val="19"/>
          <w:lang w:val="es-ES" w:eastAsia="es-ES"/>
        </w:rPr>
        <w:t xml:space="preserve">únicamente en las causales indicadas en dicho artículo, cuyo conocimiento </w:t>
      </w:r>
      <w:r>
        <w:rPr>
          <w:rStyle w:val="CharacterStyle2"/>
          <w:rFonts w:ascii="Tahoma" w:hAnsi="Tahoma" w:cs="Tahoma"/>
          <w:spacing w:val="11"/>
          <w:sz w:val="19"/>
          <w:szCs w:val="19"/>
          <w:lang w:val="es-ES" w:eastAsia="es-ES"/>
        </w:rPr>
        <w:t>corresponde al respectivo jerarca de la Administración, que emitió el Acto Final que se encuentra firme. (Vé</w:t>
      </w:r>
      <w:r>
        <w:rPr>
          <w:rStyle w:val="CharacterStyle2"/>
          <w:rFonts w:ascii="Tahoma" w:hAnsi="Tahoma" w:cs="Tahoma"/>
          <w:spacing w:val="11"/>
          <w:sz w:val="19"/>
          <w:szCs w:val="19"/>
          <w:lang w:val="es-ES" w:eastAsia="es-ES"/>
        </w:rPr>
        <w:t>ase folios 22 a 24 del Expediente administrativo)</w:t>
      </w:r>
    </w:p>
    <w:p w:rsidR="00000000" w:rsidRDefault="00F874CB">
      <w:pPr>
        <w:pStyle w:val="Style9"/>
        <w:kinsoku w:val="0"/>
        <w:autoSpaceDE/>
        <w:autoSpaceDN/>
        <w:adjustRightInd/>
        <w:spacing w:before="216"/>
        <w:ind w:left="72" w:right="576"/>
        <w:rPr>
          <w:rStyle w:val="CharacterStyle2"/>
          <w:rFonts w:ascii="Tahoma" w:hAnsi="Tahoma" w:cs="Tahoma"/>
          <w:spacing w:val="11"/>
          <w:sz w:val="19"/>
          <w:szCs w:val="19"/>
          <w:lang w:val="es-ES" w:eastAsia="es-ES"/>
        </w:rPr>
      </w:pPr>
      <w:r>
        <w:rPr>
          <w:rStyle w:val="CharacterStyle2"/>
          <w:rFonts w:ascii="Tahoma" w:hAnsi="Tahoma" w:cs="Tahoma"/>
          <w:spacing w:val="13"/>
          <w:sz w:val="19"/>
          <w:szCs w:val="19"/>
          <w:lang w:val="es-ES" w:eastAsia="es-ES"/>
        </w:rPr>
        <w:t>A este respecto, la Procuraduría General de la República, en el dictamen C-157</w:t>
      </w:r>
      <w:r>
        <w:rPr>
          <w:rStyle w:val="CharacterStyle2"/>
          <w:rFonts w:ascii="Tahoma" w:hAnsi="Tahoma" w:cs="Tahoma"/>
          <w:spacing w:val="13"/>
          <w:sz w:val="19"/>
          <w:szCs w:val="19"/>
          <w:lang w:val="es-ES" w:eastAsia="es-ES"/>
        </w:rPr>
        <w:softHyphen/>
      </w:r>
      <w:r>
        <w:rPr>
          <w:rStyle w:val="CharacterStyle2"/>
          <w:rFonts w:ascii="Tahoma" w:hAnsi="Tahoma" w:cs="Tahoma"/>
          <w:spacing w:val="11"/>
          <w:sz w:val="19"/>
          <w:szCs w:val="19"/>
          <w:lang w:val="es-ES" w:eastAsia="es-ES"/>
        </w:rPr>
        <w:t>2003 del 3 de junio de 2003, manifestó:</w:t>
      </w:r>
    </w:p>
    <w:p w:rsidR="00000000" w:rsidRPr="00F874CB" w:rsidRDefault="00F874CB" w:rsidP="00F874CB">
      <w:pPr>
        <w:pStyle w:val="Style9"/>
        <w:kinsoku w:val="0"/>
        <w:autoSpaceDE/>
        <w:autoSpaceDN/>
        <w:adjustRightInd/>
        <w:spacing w:before="180" w:after="468"/>
        <w:ind w:left="720" w:right="1224"/>
        <w:jc w:val="both"/>
        <w:rPr>
          <w:rFonts w:ascii="Tahoma" w:hAnsi="Tahoma" w:cs="Tahoma"/>
          <w:spacing w:val="19"/>
          <w:sz w:val="19"/>
          <w:szCs w:val="19"/>
          <w:lang w:val="es-ES" w:eastAsia="es-ES"/>
        </w:rPr>
      </w:pPr>
      <w:r>
        <w:rPr>
          <w:rStyle w:val="CharacterStyle2"/>
          <w:rFonts w:ascii="Tahoma" w:hAnsi="Tahoma" w:cs="Tahoma"/>
          <w:spacing w:val="13"/>
          <w:sz w:val="19"/>
          <w:szCs w:val="19"/>
          <w:lang w:val="es-ES" w:eastAsia="es-ES"/>
        </w:rPr>
        <w:t xml:space="preserve">"En consecuencia, contra lo resuelto por el Consejo de Transporte </w:t>
      </w:r>
      <w:r>
        <w:rPr>
          <w:rStyle w:val="CharacterStyle2"/>
          <w:rFonts w:ascii="Tahoma" w:hAnsi="Tahoma" w:cs="Tahoma"/>
          <w:spacing w:val="21"/>
          <w:sz w:val="19"/>
          <w:szCs w:val="19"/>
          <w:lang w:val="es-ES" w:eastAsia="es-ES"/>
        </w:rPr>
        <w:t>Público, en principio</w:t>
      </w:r>
      <w:r>
        <w:rPr>
          <w:rStyle w:val="CharacterStyle2"/>
          <w:rFonts w:ascii="Tahoma" w:hAnsi="Tahoma" w:cs="Tahoma"/>
          <w:spacing w:val="21"/>
          <w:sz w:val="19"/>
          <w:szCs w:val="19"/>
          <w:lang w:val="es-ES" w:eastAsia="es-ES"/>
        </w:rPr>
        <w:t xml:space="preserve">, sólo caben los recursos administrativos </w:t>
      </w:r>
      <w:r>
        <w:rPr>
          <w:rStyle w:val="CharacterStyle2"/>
          <w:rFonts w:ascii="Tahoma" w:hAnsi="Tahoma" w:cs="Tahoma"/>
          <w:spacing w:val="18"/>
          <w:sz w:val="19"/>
          <w:szCs w:val="19"/>
          <w:lang w:val="es-ES" w:eastAsia="es-ES"/>
        </w:rPr>
        <w:t xml:space="preserve">ordinarios, a saber, el de revocatoria </w:t>
      </w:r>
      <w:proofErr w:type="gramStart"/>
      <w:r>
        <w:rPr>
          <w:rStyle w:val="CharacterStyle2"/>
          <w:rFonts w:ascii="Tahoma" w:hAnsi="Tahoma" w:cs="Tahoma"/>
          <w:spacing w:val="18"/>
          <w:sz w:val="19"/>
          <w:szCs w:val="19"/>
          <w:lang w:val="es-ES" w:eastAsia="es-ES"/>
        </w:rPr>
        <w:t>( que</w:t>
      </w:r>
      <w:proofErr w:type="gramEnd"/>
      <w:r>
        <w:rPr>
          <w:rStyle w:val="CharacterStyle2"/>
          <w:rFonts w:ascii="Tahoma" w:hAnsi="Tahoma" w:cs="Tahoma"/>
          <w:spacing w:val="18"/>
          <w:sz w:val="19"/>
          <w:szCs w:val="19"/>
          <w:lang w:val="es-ES" w:eastAsia="es-ES"/>
        </w:rPr>
        <w:t xml:space="preserve"> conocería el mismo </w:t>
      </w:r>
      <w:r>
        <w:rPr>
          <w:rStyle w:val="CharacterStyle2"/>
          <w:rFonts w:ascii="Tahoma" w:hAnsi="Tahoma" w:cs="Tahoma"/>
          <w:spacing w:val="19"/>
          <w:sz w:val="19"/>
          <w:szCs w:val="19"/>
          <w:lang w:val="es-ES" w:eastAsia="es-ES"/>
        </w:rPr>
        <w:t xml:space="preserve">Consejo) y el de apelación que corresponde conocer al Tribunal </w:t>
      </w:r>
      <w:r>
        <w:rPr>
          <w:rFonts w:ascii="Tahoma" w:hAnsi="Tahoma" w:cs="Tahoma"/>
          <w:spacing w:val="16"/>
          <w:sz w:val="19"/>
          <w:szCs w:val="19"/>
          <w:lang w:val="es-ES" w:eastAsia="es-ES"/>
        </w:rPr>
        <w:t xml:space="preserve">Administrativo de Transporte. Y contra lo resuelto por el citado </w:t>
      </w:r>
      <w:r>
        <w:rPr>
          <w:rFonts w:ascii="Tahoma" w:hAnsi="Tahoma" w:cs="Tahoma"/>
          <w:spacing w:val="20"/>
          <w:sz w:val="19"/>
          <w:szCs w:val="19"/>
          <w:lang w:val="es-ES" w:eastAsia="es-ES"/>
        </w:rPr>
        <w:lastRenderedPageBreak/>
        <w:t xml:space="preserve">Tribunal, no cabe más recurso y se tendrá por agotada la vía </w:t>
      </w:r>
      <w:r>
        <w:rPr>
          <w:rFonts w:ascii="Tahoma" w:hAnsi="Tahoma" w:cs="Tahoma"/>
          <w:spacing w:val="6"/>
          <w:sz w:val="19"/>
          <w:szCs w:val="19"/>
          <w:lang w:val="es-ES" w:eastAsia="es-ES"/>
        </w:rPr>
        <w:t>administrativa.</w:t>
      </w:r>
    </w:p>
    <w:p w:rsidR="00000000" w:rsidRDefault="00F874CB" w:rsidP="00F874CB">
      <w:pPr>
        <w:pStyle w:val="Style1"/>
        <w:kinsoku w:val="0"/>
        <w:autoSpaceDE/>
        <w:autoSpaceDN/>
        <w:adjustRightInd/>
        <w:spacing w:before="144"/>
        <w:ind w:left="709" w:right="720"/>
        <w:jc w:val="both"/>
        <w:rPr>
          <w:rFonts w:ascii="Tahoma" w:hAnsi="Tahoma" w:cs="Tahoma"/>
          <w:spacing w:val="4"/>
          <w:sz w:val="19"/>
          <w:szCs w:val="19"/>
          <w:lang w:val="es-ES" w:eastAsia="es-ES"/>
        </w:rPr>
      </w:pPr>
      <w:r>
        <w:rPr>
          <w:rFonts w:ascii="Tahoma" w:hAnsi="Tahoma" w:cs="Tahoma"/>
          <w:spacing w:val="11"/>
          <w:sz w:val="19"/>
          <w:szCs w:val="19"/>
          <w:lang w:val="es-ES" w:eastAsia="es-ES"/>
        </w:rPr>
        <w:t xml:space="preserve">No obstante, en opinión de la Procuraduría General de la República, </w:t>
      </w:r>
      <w:r>
        <w:rPr>
          <w:rFonts w:ascii="Tahoma" w:hAnsi="Tahoma" w:cs="Tahoma"/>
          <w:spacing w:val="10"/>
          <w:sz w:val="19"/>
          <w:szCs w:val="19"/>
          <w:lang w:val="es-ES" w:eastAsia="es-ES"/>
        </w:rPr>
        <w:t xml:space="preserve">en el caso de que los citados órganos hayan incurrido, al dictar un </w:t>
      </w:r>
      <w:r>
        <w:rPr>
          <w:rFonts w:ascii="Tahoma" w:hAnsi="Tahoma" w:cs="Tahoma"/>
          <w:spacing w:val="13"/>
          <w:sz w:val="19"/>
          <w:szCs w:val="19"/>
          <w:lang w:val="es-ES" w:eastAsia="es-ES"/>
        </w:rPr>
        <w:t xml:space="preserve">determinado acto administrativo, en alguno </w:t>
      </w:r>
      <w:r>
        <w:rPr>
          <w:rFonts w:ascii="Tahoma" w:hAnsi="Tahoma" w:cs="Tahoma"/>
          <w:spacing w:val="13"/>
          <w:sz w:val="19"/>
          <w:szCs w:val="19"/>
          <w:lang w:val="es-ES" w:eastAsia="es-ES"/>
        </w:rPr>
        <w:t xml:space="preserve">de los supuestos que </w:t>
      </w:r>
      <w:r>
        <w:rPr>
          <w:rFonts w:ascii="Tahoma" w:hAnsi="Tahoma" w:cs="Tahoma"/>
          <w:spacing w:val="10"/>
          <w:sz w:val="19"/>
          <w:szCs w:val="19"/>
          <w:lang w:val="es-ES" w:eastAsia="es-ES"/>
        </w:rPr>
        <w:t xml:space="preserve">contempla el ordenamiento jurídico para que proceda el recurso de </w:t>
      </w:r>
      <w:r>
        <w:rPr>
          <w:rFonts w:ascii="Tahoma" w:hAnsi="Tahoma" w:cs="Tahoma"/>
          <w:spacing w:val="11"/>
          <w:sz w:val="19"/>
          <w:szCs w:val="19"/>
          <w:lang w:val="es-ES" w:eastAsia="es-ES"/>
        </w:rPr>
        <w:t xml:space="preserve">revisión, y a fin de no desvirtuar la desconcentración operada a su </w:t>
      </w:r>
      <w:r>
        <w:rPr>
          <w:rFonts w:ascii="Tahoma" w:hAnsi="Tahoma" w:cs="Tahoma"/>
          <w:spacing w:val="7"/>
          <w:sz w:val="19"/>
          <w:szCs w:val="19"/>
          <w:lang w:val="es-ES" w:eastAsia="es-ES"/>
        </w:rPr>
        <w:t xml:space="preserve">favor, </w:t>
      </w:r>
      <w:r>
        <w:rPr>
          <w:rFonts w:ascii="Verdana" w:hAnsi="Verdana" w:cs="Verdana"/>
          <w:spacing w:val="-3"/>
          <w:sz w:val="19"/>
          <w:szCs w:val="19"/>
          <w:u w:val="single"/>
          <w:lang w:val="es-ES" w:eastAsia="es-ES"/>
        </w:rPr>
        <w:t xml:space="preserve">el recurso en cuestión tendría que ser conocido por el mismo </w:t>
      </w:r>
      <w:r>
        <w:rPr>
          <w:rFonts w:ascii="Verdana" w:hAnsi="Verdana" w:cs="Verdana"/>
          <w:spacing w:val="2"/>
          <w:sz w:val="19"/>
          <w:szCs w:val="19"/>
          <w:u w:val="single"/>
          <w:lang w:val="es-ES" w:eastAsia="es-ES"/>
        </w:rPr>
        <w:t>ó</w:t>
      </w:r>
      <w:r>
        <w:rPr>
          <w:rFonts w:ascii="Verdana" w:hAnsi="Verdana" w:cs="Verdana"/>
          <w:spacing w:val="2"/>
          <w:sz w:val="19"/>
          <w:szCs w:val="19"/>
          <w:u w:val="single"/>
          <w:lang w:val="es-ES" w:eastAsia="es-ES"/>
        </w:rPr>
        <w:t>rgano que ha dictado el acto que</w:t>
      </w:r>
      <w:r>
        <w:rPr>
          <w:rFonts w:ascii="Verdana" w:hAnsi="Verdana" w:cs="Verdana"/>
          <w:spacing w:val="2"/>
          <w:sz w:val="19"/>
          <w:szCs w:val="19"/>
          <w:u w:val="single"/>
          <w:lang w:val="es-ES" w:eastAsia="es-ES"/>
        </w:rPr>
        <w:t xml:space="preserve"> se cuestiona."</w:t>
      </w:r>
      <w:r>
        <w:rPr>
          <w:rFonts w:ascii="Tahoma" w:hAnsi="Tahoma" w:cs="Tahoma"/>
          <w:spacing w:val="12"/>
          <w:sz w:val="19"/>
          <w:szCs w:val="19"/>
          <w:lang w:val="es-ES" w:eastAsia="es-ES"/>
        </w:rPr>
        <w:t xml:space="preserve"> (Lo subrayado no </w:t>
      </w:r>
      <w:r>
        <w:rPr>
          <w:rFonts w:ascii="Tahoma" w:hAnsi="Tahoma" w:cs="Tahoma"/>
          <w:spacing w:val="4"/>
          <w:sz w:val="19"/>
          <w:szCs w:val="19"/>
          <w:lang w:val="es-ES" w:eastAsia="es-ES"/>
        </w:rPr>
        <w:t>es del original)</w:t>
      </w:r>
    </w:p>
    <w:p w:rsidR="00000000" w:rsidRDefault="00F874CB">
      <w:pPr>
        <w:pStyle w:val="Style1"/>
        <w:kinsoku w:val="0"/>
        <w:autoSpaceDE/>
        <w:autoSpaceDN/>
        <w:adjustRightInd/>
        <w:spacing w:before="144"/>
        <w:jc w:val="both"/>
        <w:rPr>
          <w:rFonts w:ascii="Tahoma" w:hAnsi="Tahoma" w:cs="Tahoma"/>
          <w:spacing w:val="5"/>
          <w:sz w:val="19"/>
          <w:szCs w:val="19"/>
          <w:lang w:val="es-ES" w:eastAsia="es-ES"/>
        </w:rPr>
      </w:pPr>
      <w:r>
        <w:rPr>
          <w:rFonts w:ascii="Tahoma" w:hAnsi="Tahoma" w:cs="Tahoma"/>
          <w:spacing w:val="7"/>
          <w:sz w:val="19"/>
          <w:szCs w:val="19"/>
          <w:lang w:val="es-ES" w:eastAsia="es-ES"/>
        </w:rPr>
        <w:t xml:space="preserve">En consecuencia, el conocimiento del recurso de revisión interpuesto corresponde al </w:t>
      </w:r>
      <w:r>
        <w:rPr>
          <w:rFonts w:ascii="Tahoma" w:hAnsi="Tahoma" w:cs="Tahoma"/>
          <w:spacing w:val="13"/>
          <w:sz w:val="19"/>
          <w:szCs w:val="19"/>
          <w:lang w:val="es-ES" w:eastAsia="es-ES"/>
        </w:rPr>
        <w:t xml:space="preserve">Consejo de Transporte Público, órgano al cual se remite el expediente para su </w:t>
      </w:r>
      <w:r>
        <w:rPr>
          <w:rFonts w:ascii="Tahoma" w:hAnsi="Tahoma" w:cs="Tahoma"/>
          <w:spacing w:val="5"/>
          <w:sz w:val="19"/>
          <w:szCs w:val="19"/>
          <w:lang w:val="es-ES" w:eastAsia="es-ES"/>
        </w:rPr>
        <w:t>respectivo t</w:t>
      </w:r>
      <w:r>
        <w:rPr>
          <w:rFonts w:ascii="Tahoma" w:hAnsi="Tahoma" w:cs="Tahoma"/>
          <w:spacing w:val="5"/>
          <w:sz w:val="19"/>
          <w:szCs w:val="19"/>
          <w:lang w:val="es-ES" w:eastAsia="es-ES"/>
        </w:rPr>
        <w:t>ramite.</w:t>
      </w:r>
    </w:p>
    <w:p w:rsidR="00000000" w:rsidRDefault="00F874CB">
      <w:pPr>
        <w:pStyle w:val="Style1"/>
        <w:kinsoku w:val="0"/>
        <w:autoSpaceDE/>
        <w:autoSpaceDN/>
        <w:adjustRightInd/>
        <w:spacing w:before="144" w:line="194" w:lineRule="auto"/>
        <w:jc w:val="center"/>
        <w:rPr>
          <w:rFonts w:ascii="Verdana" w:hAnsi="Verdana" w:cs="Verdana"/>
          <w:b/>
          <w:bCs/>
          <w:spacing w:val="-15"/>
          <w:w w:val="105"/>
          <w:sz w:val="19"/>
          <w:szCs w:val="19"/>
          <w:lang w:val="es-ES" w:eastAsia="es-ES"/>
        </w:rPr>
      </w:pPr>
      <w:r>
        <w:rPr>
          <w:rFonts w:ascii="Verdana" w:hAnsi="Verdana" w:cs="Verdana"/>
          <w:b/>
          <w:bCs/>
          <w:spacing w:val="-15"/>
          <w:w w:val="105"/>
          <w:sz w:val="19"/>
          <w:szCs w:val="19"/>
          <w:lang w:val="es-ES" w:eastAsia="es-ES"/>
        </w:rPr>
        <w:t>POR TANTO:</w:t>
      </w:r>
    </w:p>
    <w:p w:rsidR="00000000" w:rsidRDefault="00F874CB">
      <w:pPr>
        <w:pStyle w:val="Style1"/>
        <w:kinsoku w:val="0"/>
        <w:autoSpaceDE/>
        <w:autoSpaceDN/>
        <w:adjustRightInd/>
        <w:spacing w:before="180"/>
        <w:jc w:val="both"/>
        <w:rPr>
          <w:rFonts w:ascii="Tahoma" w:hAnsi="Tahoma" w:cs="Tahoma"/>
          <w:spacing w:val="3"/>
          <w:sz w:val="19"/>
          <w:szCs w:val="19"/>
          <w:lang w:val="es-ES" w:eastAsia="es-ES"/>
        </w:rPr>
      </w:pPr>
      <w:r w:rsidRPr="00F874CB">
        <w:rPr>
          <w:rFonts w:ascii="Tahoma" w:hAnsi="Tahoma" w:cs="Tahoma"/>
          <w:b/>
          <w:spacing w:val="10"/>
          <w:sz w:val="19"/>
          <w:szCs w:val="19"/>
          <w:lang w:val="es-ES" w:eastAsia="es-ES"/>
        </w:rPr>
        <w:t>I.</w:t>
      </w:r>
      <w:r w:rsidRPr="00F874CB">
        <w:rPr>
          <w:rFonts w:ascii="Tahoma" w:hAnsi="Tahoma" w:cs="Tahoma"/>
          <w:b/>
          <w:spacing w:val="10"/>
          <w:sz w:val="19"/>
          <w:szCs w:val="19"/>
          <w:lang w:val="es-ES" w:eastAsia="es-ES"/>
        </w:rPr>
        <w:t xml:space="preserve"> -</w:t>
      </w:r>
      <w:r>
        <w:rPr>
          <w:rFonts w:ascii="Tahoma" w:hAnsi="Tahoma" w:cs="Tahoma"/>
          <w:spacing w:val="10"/>
          <w:sz w:val="19"/>
          <w:szCs w:val="19"/>
          <w:lang w:val="es-ES" w:eastAsia="es-ES"/>
        </w:rPr>
        <w:t xml:space="preserve"> Se declara </w:t>
      </w:r>
      <w:r>
        <w:rPr>
          <w:rFonts w:ascii="Tahoma" w:hAnsi="Tahoma" w:cs="Tahoma"/>
          <w:spacing w:val="10"/>
          <w:sz w:val="19"/>
          <w:szCs w:val="19"/>
          <w:lang w:val="es-ES" w:eastAsia="es-ES"/>
        </w:rPr>
        <w:t xml:space="preserve">la incompetencia del Tribunal Administrativo de Transporte para </w:t>
      </w:r>
      <w:r>
        <w:rPr>
          <w:rFonts w:ascii="Tahoma" w:hAnsi="Tahoma" w:cs="Tahoma"/>
          <w:spacing w:val="11"/>
          <w:sz w:val="19"/>
          <w:szCs w:val="19"/>
          <w:lang w:val="es-ES" w:eastAsia="es-ES"/>
        </w:rPr>
        <w:t xml:space="preserve">conocer del Recurso de Revisión y Nulidad absoluta presentado por </w:t>
      </w:r>
      <w:r>
        <w:rPr>
          <w:rFonts w:ascii="Verdana" w:hAnsi="Verdana" w:cs="Verdana"/>
          <w:b/>
          <w:bCs/>
          <w:spacing w:val="11"/>
          <w:w w:val="105"/>
          <w:sz w:val="19"/>
          <w:szCs w:val="19"/>
          <w:lang w:val="es-ES" w:eastAsia="es-ES"/>
        </w:rPr>
        <w:t>DGM</w:t>
      </w:r>
      <w:r>
        <w:rPr>
          <w:rFonts w:ascii="Verdana" w:hAnsi="Verdana" w:cs="Verdana"/>
          <w:b/>
          <w:bCs/>
          <w:spacing w:val="9"/>
          <w:w w:val="105"/>
          <w:sz w:val="19"/>
          <w:szCs w:val="19"/>
          <w:lang w:val="es-ES" w:eastAsia="es-ES"/>
        </w:rPr>
        <w:t xml:space="preserve">, </w:t>
      </w:r>
      <w:r>
        <w:rPr>
          <w:rFonts w:ascii="Tahoma" w:hAnsi="Tahoma" w:cs="Tahoma"/>
          <w:spacing w:val="9"/>
          <w:sz w:val="19"/>
          <w:szCs w:val="19"/>
          <w:lang w:val="es-ES" w:eastAsia="es-ES"/>
        </w:rPr>
        <w:t>cédula de identidad número …</w:t>
      </w:r>
      <w:r>
        <w:rPr>
          <w:rFonts w:ascii="Tahoma" w:hAnsi="Tahoma" w:cs="Tahoma"/>
          <w:spacing w:val="9"/>
          <w:sz w:val="19"/>
          <w:szCs w:val="19"/>
          <w:lang w:val="es-ES" w:eastAsia="es-ES"/>
        </w:rPr>
        <w:t xml:space="preserve">, contra la calificación </w:t>
      </w:r>
      <w:r>
        <w:rPr>
          <w:rFonts w:ascii="Tahoma" w:hAnsi="Tahoma" w:cs="Tahoma"/>
          <w:spacing w:val="3"/>
          <w:sz w:val="19"/>
          <w:szCs w:val="19"/>
          <w:lang w:val="es-ES" w:eastAsia="es-ES"/>
        </w:rPr>
        <w:t xml:space="preserve">dada por el CONSEJO DE TRANSPORTE PÚBLICO, otorgada a la oferta presentada en la </w:t>
      </w:r>
      <w:r>
        <w:rPr>
          <w:rFonts w:ascii="Tahoma" w:hAnsi="Tahoma" w:cs="Tahoma"/>
          <w:spacing w:val="12"/>
          <w:sz w:val="19"/>
          <w:szCs w:val="19"/>
          <w:lang w:val="es-ES" w:eastAsia="es-ES"/>
        </w:rPr>
        <w:t xml:space="preserve">licitación pública denominada "PRIMER PROCEDIMIENTO ESPECIAL ABREVIDADO PARA EL TRANSPORTE REMUNERADO DE PERSONAS EN VEHICULOS MODALIDAD </w:t>
      </w:r>
      <w:r>
        <w:rPr>
          <w:rFonts w:ascii="Tahoma" w:hAnsi="Tahoma" w:cs="Tahoma"/>
          <w:spacing w:val="3"/>
          <w:sz w:val="19"/>
          <w:szCs w:val="19"/>
          <w:lang w:val="es-ES" w:eastAsia="es-ES"/>
        </w:rPr>
        <w:t>TAXI".</w:t>
      </w:r>
    </w:p>
    <w:p w:rsidR="00000000" w:rsidRDefault="00F874CB" w:rsidP="00F874CB">
      <w:pPr>
        <w:pStyle w:val="Style1"/>
        <w:kinsoku w:val="0"/>
        <w:autoSpaceDE/>
        <w:autoSpaceDN/>
        <w:adjustRightInd/>
        <w:spacing w:before="180"/>
        <w:jc w:val="both"/>
        <w:rPr>
          <w:rFonts w:ascii="Tahoma" w:hAnsi="Tahoma" w:cs="Tahoma"/>
          <w:b/>
          <w:spacing w:val="16"/>
          <w:sz w:val="19"/>
          <w:szCs w:val="19"/>
          <w:lang w:val="es-ES" w:eastAsia="es-ES"/>
        </w:rPr>
      </w:pPr>
      <w:r>
        <w:rPr>
          <w:rFonts w:ascii="Verdana" w:hAnsi="Verdana" w:cs="Verdana"/>
          <w:b/>
          <w:bCs/>
          <w:spacing w:val="28"/>
          <w:w w:val="105"/>
          <w:sz w:val="19"/>
          <w:szCs w:val="19"/>
          <w:lang w:val="es-ES" w:eastAsia="es-ES"/>
        </w:rPr>
        <w:t xml:space="preserve">II.- </w:t>
      </w:r>
      <w:r>
        <w:rPr>
          <w:rFonts w:ascii="Tahoma" w:hAnsi="Tahoma" w:cs="Tahoma"/>
          <w:spacing w:val="28"/>
          <w:sz w:val="19"/>
          <w:szCs w:val="19"/>
          <w:lang w:val="es-ES" w:eastAsia="es-ES"/>
        </w:rPr>
        <w:t>De conformidad con los art</w:t>
      </w:r>
      <w:r>
        <w:rPr>
          <w:rFonts w:ascii="Tahoma" w:hAnsi="Tahoma" w:cs="Tahoma"/>
          <w:spacing w:val="28"/>
          <w:sz w:val="19"/>
          <w:szCs w:val="19"/>
          <w:lang w:val="es-ES" w:eastAsia="es-ES"/>
        </w:rPr>
        <w:t>ículos 67 y 69 de la Ley General de la</w:t>
      </w:r>
      <w:r>
        <w:rPr>
          <w:rFonts w:ascii="Tahoma" w:hAnsi="Tahoma" w:cs="Tahoma"/>
          <w:spacing w:val="28"/>
          <w:sz w:val="19"/>
          <w:szCs w:val="19"/>
          <w:lang w:val="es-ES" w:eastAsia="es-ES"/>
        </w:rPr>
        <w:br/>
      </w:r>
      <w:r>
        <w:rPr>
          <w:rFonts w:ascii="Tahoma" w:hAnsi="Tahoma" w:cs="Tahoma"/>
          <w:spacing w:val="16"/>
          <w:sz w:val="19"/>
          <w:szCs w:val="19"/>
          <w:lang w:val="es-ES" w:eastAsia="es-ES"/>
        </w:rPr>
        <w:t xml:space="preserve">Administración Pública, se remite el pre ente recurso de revisión al Consejo de de Transporte Público para su conocimiento y resolución. </w:t>
      </w:r>
      <w:r>
        <w:rPr>
          <w:rFonts w:ascii="Tahoma" w:hAnsi="Tahoma" w:cs="Tahoma"/>
          <w:b/>
          <w:spacing w:val="16"/>
          <w:sz w:val="19"/>
          <w:szCs w:val="19"/>
          <w:lang w:val="es-ES" w:eastAsia="es-ES"/>
        </w:rPr>
        <w:t>NOTIFIQUÉSE.</w:t>
      </w:r>
    </w:p>
    <w:p w:rsidR="00F874CB" w:rsidRDefault="00F874CB" w:rsidP="00F874CB">
      <w:pPr>
        <w:pStyle w:val="Style1"/>
        <w:kinsoku w:val="0"/>
        <w:autoSpaceDE/>
        <w:autoSpaceDN/>
        <w:adjustRightInd/>
        <w:spacing w:before="180"/>
        <w:jc w:val="both"/>
        <w:rPr>
          <w:rFonts w:ascii="Tahoma" w:hAnsi="Tahoma" w:cs="Tahoma"/>
          <w:b/>
          <w:spacing w:val="16"/>
          <w:sz w:val="19"/>
          <w:szCs w:val="19"/>
          <w:lang w:val="es-ES" w:eastAsia="es-ES"/>
        </w:rPr>
      </w:pPr>
    </w:p>
    <w:p w:rsidR="00F874CB" w:rsidRPr="00F874CB" w:rsidRDefault="00F874CB" w:rsidP="00F874CB">
      <w:pPr>
        <w:pStyle w:val="Sinespaciado"/>
        <w:jc w:val="center"/>
        <w:rPr>
          <w:rFonts w:ascii="Tahoma" w:hAnsi="Tahoma" w:cs="Tahoma"/>
          <w:i/>
          <w:sz w:val="22"/>
          <w:szCs w:val="22"/>
          <w:lang w:val="es-ES" w:eastAsia="es-ES"/>
        </w:rPr>
      </w:pPr>
      <w:r w:rsidRPr="00F874CB">
        <w:rPr>
          <w:rFonts w:ascii="Tahoma" w:hAnsi="Tahoma" w:cs="Tahoma"/>
          <w:sz w:val="22"/>
          <w:szCs w:val="22"/>
          <w:lang w:val="es-ES" w:eastAsia="es-ES"/>
        </w:rPr>
        <w:t>Lic. Luis Gerardo Fallas Acosta</w:t>
      </w:r>
    </w:p>
    <w:p w:rsidR="00F874CB" w:rsidRPr="00F874CB" w:rsidRDefault="00F874CB" w:rsidP="00F874CB">
      <w:pPr>
        <w:pStyle w:val="Sinespaciado"/>
        <w:jc w:val="center"/>
        <w:rPr>
          <w:rFonts w:ascii="Tahoma" w:hAnsi="Tahoma" w:cs="Tahoma"/>
          <w:sz w:val="22"/>
          <w:szCs w:val="22"/>
          <w:lang w:val="es-ES" w:eastAsia="es-ES"/>
        </w:rPr>
      </w:pPr>
      <w:r w:rsidRPr="00F874CB">
        <w:rPr>
          <w:rFonts w:ascii="Tahoma" w:hAnsi="Tahoma" w:cs="Tahoma"/>
          <w:sz w:val="22"/>
          <w:szCs w:val="22"/>
          <w:lang w:val="es-ES" w:eastAsia="es-ES"/>
        </w:rPr>
        <w:t>Presidente</w:t>
      </w:r>
    </w:p>
    <w:p w:rsidR="00F874CB" w:rsidRPr="00F874CB" w:rsidRDefault="00F874CB" w:rsidP="00F874CB">
      <w:pPr>
        <w:pStyle w:val="Sinespaciado"/>
        <w:jc w:val="center"/>
        <w:rPr>
          <w:rFonts w:ascii="Tahoma" w:hAnsi="Tahoma" w:cs="Tahoma"/>
          <w:sz w:val="22"/>
          <w:szCs w:val="22"/>
          <w:lang w:val="es-ES" w:eastAsia="es-ES"/>
        </w:rPr>
      </w:pPr>
    </w:p>
    <w:p w:rsidR="00F874CB" w:rsidRPr="00F874CB" w:rsidRDefault="00F874CB" w:rsidP="00F874CB">
      <w:pPr>
        <w:pStyle w:val="Sinespaciado"/>
        <w:jc w:val="center"/>
        <w:rPr>
          <w:rFonts w:ascii="Tahoma" w:hAnsi="Tahoma" w:cs="Tahoma"/>
          <w:sz w:val="22"/>
          <w:szCs w:val="22"/>
          <w:lang w:val="es-ES" w:eastAsia="es-ES"/>
        </w:rPr>
      </w:pPr>
    </w:p>
    <w:p w:rsidR="00F874CB" w:rsidRPr="00F874CB" w:rsidRDefault="00F874CB" w:rsidP="00F874CB">
      <w:pPr>
        <w:pStyle w:val="Sinespaciado"/>
        <w:jc w:val="both"/>
        <w:rPr>
          <w:rStyle w:val="CharacterStyle5"/>
          <w:rFonts w:ascii="Tahoma" w:hAnsi="Tahoma" w:cs="Tahoma"/>
          <w:sz w:val="22"/>
          <w:szCs w:val="22"/>
          <w:lang w:val="es-ES" w:eastAsia="es-ES"/>
        </w:rPr>
      </w:pPr>
      <w:r w:rsidRPr="00F874CB">
        <w:rPr>
          <w:rFonts w:ascii="Tahoma" w:hAnsi="Tahoma" w:cs="Tahoma"/>
          <w:sz w:val="22"/>
          <w:szCs w:val="22"/>
          <w:lang w:val="es-ES" w:eastAsia="es-ES"/>
        </w:rPr>
        <w:t xml:space="preserve">Licda. Marta Luz Pérez Peláez </w:t>
      </w:r>
      <w:r>
        <w:rPr>
          <w:rFonts w:ascii="Tahoma" w:hAnsi="Tahoma" w:cs="Tahoma"/>
          <w:sz w:val="22"/>
          <w:szCs w:val="22"/>
          <w:lang w:val="es-ES" w:eastAsia="es-ES"/>
        </w:rPr>
        <w:tab/>
      </w:r>
      <w:r>
        <w:rPr>
          <w:rFonts w:ascii="Tahoma" w:hAnsi="Tahoma" w:cs="Tahoma"/>
          <w:sz w:val="22"/>
          <w:szCs w:val="22"/>
          <w:lang w:val="es-ES" w:eastAsia="es-ES"/>
        </w:rPr>
        <w:tab/>
      </w:r>
      <w:r>
        <w:rPr>
          <w:rFonts w:ascii="Tahoma" w:hAnsi="Tahoma" w:cs="Tahoma"/>
          <w:sz w:val="22"/>
          <w:szCs w:val="22"/>
          <w:lang w:val="es-ES" w:eastAsia="es-ES"/>
        </w:rPr>
        <w:tab/>
      </w:r>
      <w:r w:rsidRPr="00F874CB">
        <w:rPr>
          <w:rFonts w:ascii="Tahoma" w:hAnsi="Tahoma" w:cs="Tahoma"/>
          <w:sz w:val="22"/>
          <w:szCs w:val="22"/>
          <w:lang w:val="es-ES" w:eastAsia="es-ES"/>
        </w:rPr>
        <w:t>Lic. Ca</w:t>
      </w:r>
      <w:r>
        <w:rPr>
          <w:rFonts w:ascii="Tahoma" w:hAnsi="Tahoma" w:cs="Tahoma"/>
          <w:sz w:val="22"/>
          <w:szCs w:val="22"/>
          <w:lang w:val="es-ES" w:eastAsia="es-ES"/>
        </w:rPr>
        <w:t xml:space="preserve">rlos Miguel Portuguez Méndez </w:t>
      </w:r>
      <w:r>
        <w:rPr>
          <w:rFonts w:ascii="Tahoma" w:hAnsi="Tahoma" w:cs="Tahoma"/>
          <w:sz w:val="22"/>
          <w:szCs w:val="22"/>
          <w:lang w:val="es-ES" w:eastAsia="es-ES"/>
        </w:rPr>
        <w:tab/>
        <w:t>Juez</w:t>
      </w:r>
      <w:r>
        <w:rPr>
          <w:rFonts w:ascii="Tahoma" w:hAnsi="Tahoma" w:cs="Tahoma"/>
          <w:sz w:val="22"/>
          <w:szCs w:val="22"/>
          <w:lang w:val="es-ES" w:eastAsia="es-ES"/>
        </w:rPr>
        <w:tab/>
      </w:r>
      <w:r>
        <w:rPr>
          <w:rFonts w:ascii="Tahoma" w:hAnsi="Tahoma" w:cs="Tahoma"/>
          <w:sz w:val="22"/>
          <w:szCs w:val="22"/>
          <w:lang w:val="es-ES" w:eastAsia="es-ES"/>
        </w:rPr>
        <w:tab/>
      </w:r>
      <w:r>
        <w:rPr>
          <w:rFonts w:ascii="Tahoma" w:hAnsi="Tahoma" w:cs="Tahoma"/>
          <w:sz w:val="22"/>
          <w:szCs w:val="22"/>
          <w:lang w:val="es-ES" w:eastAsia="es-ES"/>
        </w:rPr>
        <w:tab/>
      </w:r>
      <w:r>
        <w:rPr>
          <w:rFonts w:ascii="Tahoma" w:hAnsi="Tahoma" w:cs="Tahoma"/>
          <w:sz w:val="22"/>
          <w:szCs w:val="22"/>
          <w:lang w:val="es-ES" w:eastAsia="es-ES"/>
        </w:rPr>
        <w:tab/>
      </w:r>
      <w:r>
        <w:rPr>
          <w:rFonts w:ascii="Tahoma" w:hAnsi="Tahoma" w:cs="Tahoma"/>
          <w:sz w:val="22"/>
          <w:szCs w:val="22"/>
          <w:lang w:val="es-ES" w:eastAsia="es-ES"/>
        </w:rPr>
        <w:tab/>
      </w:r>
      <w:r>
        <w:rPr>
          <w:rFonts w:ascii="Tahoma" w:hAnsi="Tahoma" w:cs="Tahoma"/>
          <w:sz w:val="22"/>
          <w:szCs w:val="22"/>
          <w:lang w:val="es-ES" w:eastAsia="es-ES"/>
        </w:rPr>
        <w:tab/>
      </w:r>
      <w:r>
        <w:rPr>
          <w:rFonts w:ascii="Tahoma" w:hAnsi="Tahoma" w:cs="Tahoma"/>
          <w:sz w:val="22"/>
          <w:szCs w:val="22"/>
          <w:lang w:val="es-ES" w:eastAsia="es-ES"/>
        </w:rPr>
        <w:tab/>
      </w:r>
      <w:r>
        <w:rPr>
          <w:rFonts w:ascii="Tahoma" w:hAnsi="Tahoma" w:cs="Tahoma"/>
          <w:sz w:val="22"/>
          <w:szCs w:val="22"/>
          <w:lang w:val="es-ES" w:eastAsia="es-ES"/>
        </w:rPr>
        <w:tab/>
        <w:t>Juez</w:t>
      </w:r>
      <w:r w:rsidRPr="00F874CB">
        <w:rPr>
          <w:rFonts w:ascii="Tahoma" w:hAnsi="Tahoma" w:cs="Tahoma"/>
          <w:sz w:val="22"/>
          <w:szCs w:val="22"/>
          <w:lang w:val="es-ES" w:eastAsia="es-ES"/>
        </w:rPr>
        <w:t xml:space="preserve">    </w:t>
      </w:r>
      <w:r w:rsidRPr="00F874CB">
        <w:rPr>
          <w:rFonts w:ascii="Tahoma" w:hAnsi="Tahoma" w:cs="Tahoma"/>
          <w:sz w:val="22"/>
          <w:szCs w:val="22"/>
          <w:lang w:val="es-ES" w:eastAsia="es-ES"/>
        </w:rPr>
        <w:tab/>
      </w:r>
      <w:r w:rsidRPr="00F874CB">
        <w:rPr>
          <w:rFonts w:ascii="Tahoma" w:hAnsi="Tahoma" w:cs="Tahoma"/>
          <w:sz w:val="22"/>
          <w:szCs w:val="22"/>
          <w:lang w:val="es-ES" w:eastAsia="es-ES"/>
        </w:rPr>
        <w:tab/>
      </w:r>
      <w:r w:rsidRPr="00F874CB">
        <w:rPr>
          <w:rFonts w:ascii="Tahoma" w:hAnsi="Tahoma" w:cs="Tahoma"/>
          <w:sz w:val="22"/>
          <w:szCs w:val="22"/>
          <w:lang w:val="es-ES" w:eastAsia="es-ES"/>
        </w:rPr>
        <w:tab/>
      </w:r>
      <w:r w:rsidRPr="00F874CB">
        <w:rPr>
          <w:rFonts w:ascii="Tahoma" w:hAnsi="Tahoma" w:cs="Tahoma"/>
          <w:sz w:val="22"/>
          <w:szCs w:val="22"/>
          <w:lang w:val="es-ES" w:eastAsia="es-ES"/>
        </w:rPr>
        <w:tab/>
      </w:r>
      <w:r w:rsidRPr="00F874CB">
        <w:rPr>
          <w:rFonts w:ascii="Tahoma" w:hAnsi="Tahoma" w:cs="Tahoma"/>
          <w:sz w:val="22"/>
          <w:szCs w:val="22"/>
          <w:lang w:val="es-ES" w:eastAsia="es-ES"/>
        </w:rPr>
        <w:tab/>
      </w:r>
    </w:p>
    <w:p w:rsidR="00F874CB" w:rsidRPr="00414E57" w:rsidRDefault="00F874CB" w:rsidP="00F874CB">
      <w:pPr>
        <w:pStyle w:val="Sinespaciado"/>
        <w:jc w:val="center"/>
        <w:rPr>
          <w:rStyle w:val="CharacterStyle5"/>
          <w:rFonts w:ascii="Book Antiqua" w:hAnsi="Book Antiqua"/>
          <w:b/>
          <w:sz w:val="22"/>
          <w:szCs w:val="22"/>
          <w:lang w:val="es-ES" w:eastAsia="es-ES"/>
        </w:rPr>
      </w:pPr>
    </w:p>
    <w:p w:rsidR="00F874CB" w:rsidRPr="00414E57" w:rsidRDefault="00F874CB" w:rsidP="00F874CB">
      <w:pPr>
        <w:pStyle w:val="Style3"/>
        <w:kinsoku w:val="0"/>
        <w:autoSpaceDE/>
        <w:autoSpaceDN/>
        <w:spacing w:before="108" w:after="36"/>
        <w:rPr>
          <w:rStyle w:val="CharacterStyle4"/>
          <w:b/>
          <w:spacing w:val="10"/>
          <w:sz w:val="21"/>
          <w:szCs w:val="21"/>
          <w:lang w:val="es-ES" w:eastAsia="es-ES"/>
        </w:rPr>
      </w:pPr>
    </w:p>
    <w:p w:rsidR="00F874CB" w:rsidRPr="00F874CB" w:rsidRDefault="00F874CB" w:rsidP="00F874CB">
      <w:pPr>
        <w:pStyle w:val="Style1"/>
        <w:kinsoku w:val="0"/>
        <w:autoSpaceDE/>
        <w:autoSpaceDN/>
        <w:adjustRightInd/>
        <w:spacing w:before="180"/>
        <w:jc w:val="both"/>
        <w:rPr>
          <w:rFonts w:ascii="Tahoma" w:hAnsi="Tahoma" w:cs="Tahoma"/>
          <w:b/>
          <w:spacing w:val="16"/>
          <w:sz w:val="19"/>
          <w:szCs w:val="19"/>
          <w:lang w:val="es-ES" w:eastAsia="es-ES"/>
        </w:rPr>
      </w:pPr>
    </w:p>
    <w:sectPr w:rsidR="00F874CB" w:rsidRPr="00F874CB" w:rsidSect="00F874CB">
      <w:pgSz w:w="12134" w:h="15840"/>
      <w:pgMar w:top="1701" w:right="1701" w:bottom="1701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</w:compat>
  <w:rsids>
    <w:rsidRoot w:val="007C5232"/>
    <w:rsid w:val="000A2B07"/>
    <w:rsid w:val="007C5232"/>
    <w:rsid w:val="00F87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adjustRightInd w:val="0"/>
    </w:pPr>
    <w:rPr>
      <w:sz w:val="23"/>
      <w:szCs w:val="23"/>
    </w:r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spacing w:before="180" w:after="1764" w:line="360" w:lineRule="auto"/>
      <w:jc w:val="both"/>
    </w:p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spacing w:line="276" w:lineRule="exact"/>
      <w:jc w:val="both"/>
    </w:pPr>
    <w:rPr>
      <w:sz w:val="28"/>
      <w:szCs w:val="28"/>
    </w:r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spacing w:line="228" w:lineRule="exact"/>
      <w:jc w:val="both"/>
    </w:p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spacing w:line="208" w:lineRule="auto"/>
      <w:jc w:val="center"/>
    </w:pPr>
    <w:rPr>
      <w:sz w:val="30"/>
      <w:szCs w:val="30"/>
    </w:rPr>
  </w:style>
  <w:style w:type="paragraph" w:customStyle="1" w:styleId="Style7">
    <w:name w:val="Style 7"/>
    <w:basedOn w:val="Normal"/>
    <w:uiPriority w:val="99"/>
    <w:pPr>
      <w:kinsoku/>
      <w:autoSpaceDE w:val="0"/>
      <w:autoSpaceDN w:val="0"/>
      <w:spacing w:before="576" w:after="1440" w:line="360" w:lineRule="auto"/>
      <w:jc w:val="both"/>
    </w:pPr>
    <w:rPr>
      <w:sz w:val="28"/>
      <w:szCs w:val="28"/>
    </w:rPr>
  </w:style>
  <w:style w:type="paragraph" w:customStyle="1" w:styleId="Style10">
    <w:name w:val="Style 10"/>
    <w:basedOn w:val="Normal"/>
    <w:uiPriority w:val="99"/>
    <w:pPr>
      <w:kinsoku/>
      <w:autoSpaceDE w:val="0"/>
      <w:autoSpaceDN w:val="0"/>
      <w:ind w:left="2952"/>
    </w:pPr>
    <w:rPr>
      <w:sz w:val="20"/>
      <w:szCs w:val="20"/>
    </w:rPr>
  </w:style>
  <w:style w:type="paragraph" w:customStyle="1" w:styleId="Style8">
    <w:name w:val="Style 8"/>
    <w:basedOn w:val="Normal"/>
    <w:uiPriority w:val="99"/>
    <w:pPr>
      <w:kinsoku/>
      <w:autoSpaceDE w:val="0"/>
      <w:autoSpaceDN w:val="0"/>
      <w:spacing w:line="208" w:lineRule="auto"/>
      <w:jc w:val="center"/>
    </w:pPr>
    <w:rPr>
      <w:sz w:val="28"/>
      <w:szCs w:val="28"/>
    </w:rPr>
  </w:style>
  <w:style w:type="paragraph" w:customStyle="1" w:styleId="Style9">
    <w:name w:val="Style 9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6">
    <w:name w:val="Character Style 6"/>
    <w:uiPriority w:val="99"/>
    <w:rPr>
      <w:sz w:val="30"/>
      <w:szCs w:val="30"/>
    </w:rPr>
  </w:style>
  <w:style w:type="character" w:customStyle="1" w:styleId="CharacterStyle3">
    <w:name w:val="Character Style 3"/>
    <w:uiPriority w:val="99"/>
    <w:rPr>
      <w:sz w:val="23"/>
      <w:szCs w:val="23"/>
    </w:rPr>
  </w:style>
  <w:style w:type="character" w:customStyle="1" w:styleId="CharacterStyle5">
    <w:name w:val="Character Style 5"/>
    <w:uiPriority w:val="99"/>
    <w:rPr>
      <w:sz w:val="24"/>
      <w:szCs w:val="24"/>
    </w:rPr>
  </w:style>
  <w:style w:type="character" w:customStyle="1" w:styleId="CharacterStyle2">
    <w:name w:val="Character Style 2"/>
    <w:uiPriority w:val="99"/>
    <w:rPr>
      <w:sz w:val="20"/>
      <w:szCs w:val="20"/>
    </w:rPr>
  </w:style>
  <w:style w:type="character" w:customStyle="1" w:styleId="CharacterStyle4">
    <w:name w:val="Character Style 4"/>
    <w:uiPriority w:val="99"/>
    <w:rPr>
      <w:sz w:val="28"/>
      <w:szCs w:val="28"/>
    </w:rPr>
  </w:style>
  <w:style w:type="character" w:customStyle="1" w:styleId="CharacterStyle7">
    <w:name w:val="Character Style 7"/>
    <w:uiPriority w:val="99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74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74CB"/>
    <w:rPr>
      <w:rFonts w:ascii="Tahoma" w:hAnsi="Tahoma" w:cs="Tahoma"/>
      <w:sz w:val="16"/>
      <w:szCs w:val="16"/>
      <w:lang w:val="en-US"/>
    </w:rPr>
  </w:style>
  <w:style w:type="paragraph" w:styleId="Sinespaciado">
    <w:name w:val="No Spacing"/>
    <w:uiPriority w:val="1"/>
    <w:qFormat/>
    <w:rsid w:val="00F874CB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674</Words>
  <Characters>3708</Characters>
  <Application>Microsoft Office Word</Application>
  <DocSecurity>0</DocSecurity>
  <Lines>30</Lines>
  <Paragraphs>8</Paragraphs>
  <ScaleCrop>false</ScaleCrop>
  <Company/>
  <LinksUpToDate>false</LinksUpToDate>
  <CharactersWithSpaces>4374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monterost</dc:creator>
  <cp:lastModifiedBy>monterost</cp:lastModifiedBy>
  <cp:revision>3</cp:revision>
  <dcterms:created xsi:type="dcterms:W3CDTF">2012-10-04T17:54:00Z</dcterms:created>
  <dcterms:modified xsi:type="dcterms:W3CDTF">2012-10-04T17:58:00Z</dcterms:modified>
</cp:coreProperties>
</file>